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78F94">
      <w:pPr>
        <w:spacing w:before="156" w:beforeLines="50" w:after="156" w:afterLines="50" w:line="400" w:lineRule="exact"/>
        <w:jc w:val="center"/>
        <w:rPr>
          <w:rFonts w:hint="eastAsia" w:ascii="宋体" w:hAnsi="宋体" w:eastAsia="宋体"/>
          <w:bCs/>
          <w:kern w:val="0"/>
          <w:sz w:val="36"/>
          <w:szCs w:val="21"/>
        </w:rPr>
      </w:pPr>
    </w:p>
    <w:p w14:paraId="760BF4AF">
      <w:pPr>
        <w:spacing w:before="156" w:beforeLines="50" w:after="156" w:afterLines="50" w:line="400" w:lineRule="exact"/>
        <w:jc w:val="center"/>
        <w:rPr>
          <w:rFonts w:hint="eastAsia" w:ascii="宋体" w:hAnsi="宋体" w:eastAsia="宋体"/>
          <w:bCs/>
          <w:sz w:val="36"/>
          <w:szCs w:val="21"/>
        </w:rPr>
      </w:pPr>
      <w:r>
        <w:rPr>
          <w:rFonts w:hint="eastAsia" w:ascii="宋体" w:hAnsi="宋体" w:eastAsia="宋体"/>
          <w:bCs/>
          <w:kern w:val="0"/>
          <w:sz w:val="36"/>
          <w:szCs w:val="21"/>
        </w:rPr>
        <w:t>2025年度湖北省科学技术奖公示表（科技进步奖）</w:t>
      </w:r>
    </w:p>
    <w:p w14:paraId="43B6C833">
      <w:pPr>
        <w:spacing w:before="156" w:beforeLines="50" w:after="156" w:afterLines="50" w:line="400" w:lineRule="exact"/>
        <w:jc w:val="center"/>
        <w:rPr>
          <w:rFonts w:hint="eastAsia"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项目名称、提名者及提名等级、主要知识产权和标准规范等目录、主要完成人、主要完成单位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2"/>
        <w:gridCol w:w="11785"/>
      </w:tblGrid>
      <w:tr w14:paraId="5D743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2122" w:type="dxa"/>
            <w:vAlign w:val="center"/>
          </w:tcPr>
          <w:p w14:paraId="562B1249"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  <w:t>项目名称</w:t>
            </w:r>
          </w:p>
        </w:tc>
        <w:tc>
          <w:tcPr>
            <w:tcW w:w="11785" w:type="dxa"/>
            <w:vAlign w:val="center"/>
          </w:tcPr>
          <w:p w14:paraId="4D69587B"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0"/>
                <w:sz w:val="22"/>
              </w:rPr>
            </w:pPr>
            <w:bookmarkStart w:id="0" w:name="OLE_LINK186"/>
            <w:bookmarkStart w:id="1" w:name="OLE_LINK187"/>
            <w:r>
              <w:rPr>
                <w:rFonts w:hint="eastAsia" w:ascii="宋体" w:hAnsi="宋体" w:eastAsia="宋体" w:cs="宋体"/>
                <w:sz w:val="22"/>
              </w:rPr>
              <w:t>湖北楠属植物种质资源评价、种质创制与高效栽培</w:t>
            </w:r>
            <w:bookmarkEnd w:id="0"/>
            <w:bookmarkEnd w:id="1"/>
          </w:p>
        </w:tc>
      </w:tr>
      <w:tr w14:paraId="7A517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122" w:type="dxa"/>
            <w:vAlign w:val="center"/>
          </w:tcPr>
          <w:p w14:paraId="4E947518"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  <w:t>提名者</w:t>
            </w:r>
          </w:p>
        </w:tc>
        <w:tc>
          <w:tcPr>
            <w:tcW w:w="11785" w:type="dxa"/>
            <w:vAlign w:val="center"/>
          </w:tcPr>
          <w:p w14:paraId="305CFC8D"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0"/>
                <w:sz w:val="22"/>
              </w:rPr>
            </w:pPr>
            <w:r>
              <w:rPr>
                <w:rFonts w:ascii="宋体" w:hAnsi="宋体" w:eastAsia="宋体" w:cs="黑体"/>
                <w:kern w:val="0"/>
                <w:sz w:val="22"/>
              </w:rPr>
              <w:t>荆州市人民政府</w:t>
            </w:r>
          </w:p>
        </w:tc>
      </w:tr>
      <w:tr w14:paraId="1D1C6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2122" w:type="dxa"/>
            <w:vAlign w:val="center"/>
          </w:tcPr>
          <w:p w14:paraId="2252FE08"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  <w:t>提名等级</w:t>
            </w:r>
          </w:p>
        </w:tc>
        <w:tc>
          <w:tcPr>
            <w:tcW w:w="11785" w:type="dxa"/>
            <w:vAlign w:val="center"/>
          </w:tcPr>
          <w:p w14:paraId="64E84DCC">
            <w:pPr>
              <w:spacing w:line="360" w:lineRule="auto"/>
              <w:ind w:firstLine="440" w:firstLineChars="2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bookmarkStart w:id="2" w:name="OLE_LINK16"/>
            <w:bookmarkStart w:id="3" w:name="OLE_LINK15"/>
            <w:bookmarkStart w:id="4" w:name="OLE_LINK9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楠属植物是我国珍贵树种，被广泛用于庭院观赏、园林绿化和用材造林等方面。针对湖北楠属植物资源分布不明、抗逆性较差，种质资源创新不足，造林存活率低下等难题，该项目摸清了湖北省主要野生楠属资源的分布情况，并收集12个种源；开展楠属植物抗逆性研究，通过施用外源物质可增强楠属植物的抗逆性；选育楠木良种1个（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鄂R-SS-PZ-010-2024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）；发现新变种“裂叶白楠”，初步解析裂叶白楠缺刻形成的分子机制；培育出1个国审楠属植物新品种‘凤尾楠’（品种权号20220534）；建立桢楠、浙江楠、闽楠的繁育和高效栽培技术体系。其理论成果丰富了珍稀楠属树种的保育和创新研究，并制定标准规范3项，授权实用新型专利2项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开发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计算机软件著作权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1项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发表论文70余篇，培养博士、硕士研究生120余人。该项目成果目前已在全省11个县市推广，并辐射到江苏、浙江、广东、河南、安徽、湖南、江西等地区，累计推广造林面积广泛，社会经济生态效益显著，为推动楠木行业科技进步与产业发展做出了重</w:t>
            </w:r>
            <w:bookmarkStart w:id="22" w:name="_GoBack"/>
            <w:bookmarkEnd w:id="22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要贡献。</w:t>
            </w:r>
            <w:bookmarkStart w:id="5" w:name="OLE_LINK17"/>
            <w:bookmarkStart w:id="6" w:name="OLE_LINK10"/>
            <w:bookmarkStart w:id="7" w:name="OLE_LINK11"/>
          </w:p>
          <w:bookmarkEnd w:id="2"/>
          <w:bookmarkEnd w:id="3"/>
          <w:bookmarkEnd w:id="5"/>
          <w:bookmarkEnd w:id="6"/>
          <w:bookmarkEnd w:id="7"/>
          <w:p w14:paraId="3EFD8398">
            <w:pPr>
              <w:spacing w:line="360" w:lineRule="auto"/>
              <w:ind w:firstLine="440" w:firstLineChars="2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该项目选题正确、科学性强、资料完整、内容丰富，应用前景广阔，研究成果达到了同类研究的国际先进水平。</w:t>
            </w:r>
          </w:p>
          <w:p w14:paraId="1EAE3B0F">
            <w:pPr>
              <w:spacing w:line="36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bidi="ar"/>
              </w:rPr>
              <w:t xml:space="preserve">    提名该项目为2025年度湖北省科技进步奖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u w:val="single"/>
                <w:lang w:bidi="ar"/>
              </w:rPr>
              <w:t xml:space="preserve">   一   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bidi="ar"/>
              </w:rPr>
              <w:t>等奖</w:t>
            </w:r>
            <w:bookmarkEnd w:id="4"/>
          </w:p>
        </w:tc>
      </w:tr>
      <w:tr w14:paraId="3F9FC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22" w:type="dxa"/>
            <w:vAlign w:val="center"/>
          </w:tcPr>
          <w:p w14:paraId="65332F47"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  <w:t>主要完成人</w:t>
            </w:r>
          </w:p>
        </w:tc>
        <w:tc>
          <w:tcPr>
            <w:tcW w:w="11785" w:type="dxa"/>
            <w:vAlign w:val="center"/>
          </w:tcPr>
          <w:p w14:paraId="77A99400"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0"/>
                <w:sz w:val="21"/>
                <w:szCs w:val="21"/>
              </w:rPr>
            </w:pPr>
            <w:bookmarkStart w:id="8" w:name="OLE_LINK236"/>
            <w:bookmarkStart w:id="9" w:name="OLE_LINK1"/>
            <w:bookmarkStart w:id="10" w:name="OLE_LINK235"/>
            <w:bookmarkStart w:id="11" w:name="OLE_LINK237"/>
            <w:r>
              <w:rPr>
                <w:rFonts w:hint="eastAsia" w:ascii="宋体" w:hAnsi="宋体" w:eastAsia="宋体" w:cs="宋体"/>
                <w:sz w:val="22"/>
              </w:rPr>
              <w:t>费永俊，胡蝶，杨玉洁，杨繁，孙兵，贺心茹，周本庚，</w:t>
            </w:r>
            <w:bookmarkStart w:id="12" w:name="OLE_LINK21"/>
            <w:bookmarkStart w:id="13" w:name="OLE_LINK22"/>
            <w:r>
              <w:rPr>
                <w:rFonts w:hint="eastAsia" w:ascii="宋体" w:hAnsi="宋体" w:eastAsia="宋体" w:cs="宋体"/>
                <w:sz w:val="22"/>
              </w:rPr>
              <w:t>曾勇</w:t>
            </w:r>
            <w:bookmarkEnd w:id="12"/>
            <w:bookmarkEnd w:id="13"/>
            <w:r>
              <w:rPr>
                <w:rFonts w:hint="eastAsia" w:ascii="宋体" w:hAnsi="宋体" w:eastAsia="宋体" w:cs="宋体"/>
                <w:sz w:val="22"/>
              </w:rPr>
              <w:t>，程紫涵，戈祖国，曹健，孔凡贵，费越，杨曼，周存宇</w:t>
            </w:r>
            <w:bookmarkEnd w:id="8"/>
            <w:bookmarkEnd w:id="9"/>
            <w:bookmarkEnd w:id="10"/>
            <w:bookmarkEnd w:id="11"/>
          </w:p>
        </w:tc>
      </w:tr>
      <w:tr w14:paraId="38C0D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22" w:type="dxa"/>
            <w:vAlign w:val="center"/>
          </w:tcPr>
          <w:p w14:paraId="6EFD5339">
            <w:pPr>
              <w:spacing w:line="280" w:lineRule="exact"/>
              <w:jc w:val="center"/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  <w:t>主要完成单位</w:t>
            </w:r>
          </w:p>
        </w:tc>
        <w:tc>
          <w:tcPr>
            <w:tcW w:w="11785" w:type="dxa"/>
            <w:vAlign w:val="center"/>
          </w:tcPr>
          <w:p w14:paraId="076E97C3">
            <w:pPr>
              <w:spacing w:line="360" w:lineRule="auto"/>
              <w:jc w:val="both"/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  <w:t>长江大学、湖北生态工程职业技术学院、恩施土家族苗族自治州林业科学研究院、湖北省国有竹溪县双竹林场、湖北省林业局林木种苗管理总站、湖北省太子山林场管理局</w:t>
            </w:r>
          </w:p>
        </w:tc>
      </w:tr>
      <w:tr w14:paraId="62E33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13907" w:type="dxa"/>
            <w:gridSpan w:val="2"/>
            <w:vAlign w:val="center"/>
          </w:tcPr>
          <w:p w14:paraId="58F5A5B7">
            <w:pPr>
              <w:spacing w:line="240" w:lineRule="exact"/>
              <w:ind w:firstLine="440" w:firstLineChars="200"/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</w:pPr>
          </w:p>
        </w:tc>
      </w:tr>
      <w:tr w14:paraId="0A3EA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3907" w:type="dxa"/>
            <w:gridSpan w:val="2"/>
            <w:vAlign w:val="center"/>
          </w:tcPr>
          <w:tbl>
            <w:tblPr>
              <w:tblStyle w:val="8"/>
              <w:tblW w:w="13887" w:type="dxa"/>
              <w:tblInd w:w="6" w:type="dxa"/>
              <w:tblBorders>
                <w:top w:val="single" w:color="auto" w:sz="2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single" w:color="auto" w:sz="2" w:space="0"/>
                <w:insideV w:val="single" w:color="auto" w:sz="2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31"/>
              <w:gridCol w:w="986"/>
              <w:gridCol w:w="2646"/>
              <w:gridCol w:w="1390"/>
              <w:gridCol w:w="1389"/>
              <w:gridCol w:w="1389"/>
              <w:gridCol w:w="1389"/>
              <w:gridCol w:w="1389"/>
              <w:gridCol w:w="1389"/>
              <w:gridCol w:w="1389"/>
            </w:tblGrid>
            <w:tr w14:paraId="0FB68477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423B518C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序号</w:t>
                  </w:r>
                </w:p>
                <w:p w14:paraId="78B43E19">
                  <w:pPr>
                    <w:spacing w:line="240" w:lineRule="exact"/>
                    <w:ind w:firstLine="420" w:firstLineChars="200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35BF47E8">
                  <w:pPr>
                    <w:spacing w:line="240" w:lineRule="exact"/>
                    <w:jc w:val="center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知识产权（标准）类别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06366ED2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知识产权（标准）具体名称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7146121A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国家（地区）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83168E8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授权号（标准编号）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A9250B2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授权（标准实施）日期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A2E69EC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证书编号（标准批准发布部门）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51A2517C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权利人（标准起草单位）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5B1CD837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发明人（标准起草人）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C9F8B78">
                  <w:pPr>
                    <w:spacing w:line="240" w:lineRule="exact"/>
                    <w:jc w:val="both"/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kern w:val="0"/>
                      <w:sz w:val="21"/>
                      <w:szCs w:val="21"/>
                    </w:rPr>
                    <w:t>发明专利（标准）有效状态</w:t>
                  </w:r>
                </w:p>
              </w:tc>
            </w:tr>
            <w:tr w14:paraId="5DCC10A2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68048519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1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1072EEF2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植物新品种权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24456BBE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凤尾楠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164329D9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中国大陆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9A92ACC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20220534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59DB9A17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2022-12-29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58B35738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4090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325EAA3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长江大学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10A7739E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  <w:highlight w:val="darkBlue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费永俊；胡蝶；孙兵；肖波；于鹏宇；潘晓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30B2661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有效</w:t>
                  </w:r>
                </w:p>
              </w:tc>
            </w:tr>
            <w:tr w14:paraId="590FBB98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78A6F5EF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2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3835D5EC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楠木良种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045CA192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来凤县百福司镇楠木母树林种子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70AF018D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4DB822D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bookmarkStart w:id="14" w:name="OLE_LINK5"/>
                  <w:bookmarkStart w:id="15" w:name="OLE_LINK6"/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鄂R-SS-PZ-010-2024</w:t>
                  </w:r>
                  <w:bookmarkEnd w:id="14"/>
                  <w:bookmarkEnd w:id="15"/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41DA6E0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2024-9-19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3097D7DC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湖北省林木品种审定委员会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4C40EFC2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长江大学、湖北省林业局种苗管理总站、</w:t>
                  </w: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恩施土家族苗族自治州林业科学研究院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23AC156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费永俊、张锐、陈红林、吴志芳、汪明、管兰华、左俊杰、曾勇、李春霖、刘薇祎、朱星、余祥鑫、冯军、尹业兵、梁国章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5317F49B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有效</w:t>
                  </w:r>
                </w:p>
              </w:tc>
            </w:tr>
            <w:tr w14:paraId="59058F05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4B9C9587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3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512137AE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标准规范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0261EDAC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桢楠轻基质容器苗技术规程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01E7A2B3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E595DE2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DB42/T 1256—2017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35738210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2017-7-1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B515F47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湖北省质量技术监督局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BC0FADC">
                  <w:pPr>
                    <w:widowControl w:val="0"/>
                    <w:autoSpaceDE w:val="0"/>
                    <w:autoSpaceDN w:val="0"/>
                    <w:adjustRightInd w:val="0"/>
                    <w:spacing w:line="240" w:lineRule="auto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恩施土家族苗族自治州</w:t>
                  </w:r>
                  <w:bookmarkStart w:id="16" w:name="OLE_LINK4"/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林业科学研究所</w:t>
                  </w:r>
                  <w:bookmarkEnd w:id="16"/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、湖北省林业科学研究院、湖北省林业科技推广中心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564C27B">
                  <w:pPr>
                    <w:widowControl w:val="0"/>
                    <w:autoSpaceDE w:val="0"/>
                    <w:autoSpaceDN w:val="0"/>
                    <w:adjustRightInd w:val="0"/>
                    <w:spacing w:line="240" w:lineRule="auto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吴代坤、汤景明、胡业勤、李双龙、黎曙光、向伟、杨春惠、曾勇、吴应华、孙拥康、薛月辉、徐红梅、胡钧恩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585CC90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有效</w:t>
                  </w:r>
                </w:p>
              </w:tc>
            </w:tr>
            <w:tr w14:paraId="1E9275D1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454CA36F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4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2826B364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标准规范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6FBCC38A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林下楠木造林技术规程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37A67886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86A7C08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THBSF 021—2023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8250017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2024-9-10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3E81739B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湖北省林学会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73CE7E4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湖北生态工程职业技术学院、湖北省林业局林木种苗管理总站、湖北省太子山林场管理局、长江大学、恩施土家族苗族自治州林业科学研究院、湖北省国有林场工作站、湖北金丝楠木种植有限责任公司、襄阳市林业科技推广站、大冶楚林实验林场、湖北俩山生态科技有限公司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4698BC7E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杨繁、周忠诚、曾勇、李毅、管兰华、林虎、杨玉洁、荀继刚、侯开举、张吉和、解志军、刘木清、张茜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C83FD1F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有效</w:t>
                  </w:r>
                </w:p>
              </w:tc>
            </w:tr>
            <w:tr w14:paraId="7AC9A2BD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73BE8799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bookmarkStart w:id="17" w:name="_Hlk197595151"/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5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6F64ED05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标准规范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0DE5BD26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楠木种子生产技术规程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419616AC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35F0A358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T/HBSF 006—2024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BB73F28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2024-9-10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FFED9B7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湖北省林学会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1EF328CF">
                  <w:pPr>
                    <w:spacing w:line="240" w:lineRule="exact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湖北生态工程职业技术学院、湖北金丝楠木种植有限责任公司、湖北省太子山林场管理局、恩施土家族苗族自治州林业科学研究院、湖北省林业局林木种苗管理总站、大冶楚林实验林场、湖北俩山生态科技有限公司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1715341">
                  <w:pPr>
                    <w:spacing w:line="240" w:lineRule="exact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周忠诚、毛燕、侯梅、杨繁、曾勇、李毅、管兰华、侯开举、荀继刚、张茜、刘木清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393DE73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有效</w:t>
                  </w:r>
                </w:p>
              </w:tc>
            </w:tr>
            <w:tr w14:paraId="66243E78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24751902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6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3B4D2E61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实用新型专利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1AF9121D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楠木种植用的全自动挖坑填土装置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603891F7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中国大陆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54489BE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ZL 2020 2 1298414.4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1653622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20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21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>-0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4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>-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23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2DA96CA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13021940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16D76E18">
                  <w:pPr>
                    <w:spacing w:line="240" w:lineRule="exact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恩施土家族苗族自治州林业科学研究院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1A756BA">
                  <w:pPr>
                    <w:spacing w:line="240" w:lineRule="exact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陈贝贝；曾勇；吴代坤；刘薇祎；李春霖；陈伟；张川；张瑛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BB6FD67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有效</w:t>
                  </w:r>
                </w:p>
              </w:tc>
            </w:tr>
            <w:tr w14:paraId="25115886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177D6AB9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7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173E89D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实用新型专利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6AFABB9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植物标签及植物标签组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6C5BA621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中国大陆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3013C99">
                  <w:pPr>
                    <w:spacing w:line="240" w:lineRule="exact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ZL 2018 2 1565161.5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317E6FC2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20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19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>-0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>-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17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5A922577">
                  <w:pPr>
                    <w:spacing w:line="240" w:lineRule="exact"/>
                    <w:jc w:val="center"/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8849195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33B424B7">
                  <w:pPr>
                    <w:spacing w:line="240" w:lineRule="exact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恩施土家族苗族自治州林业科学研究院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20F15C32">
                  <w:pPr>
                    <w:spacing w:line="240" w:lineRule="exact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陈贝贝；李春霖；曾勇；李双龙；顿春垚；陈伟；向伟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666AAA3A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有效</w:t>
                  </w:r>
                </w:p>
              </w:tc>
            </w:tr>
            <w:tr w14:paraId="79F62DBD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6A71F159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  <w:lang w:val="en-US" w:eastAsia="zh-CN"/>
                    </w:rPr>
                    <w:t>8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2BDF3429">
                  <w:pPr>
                    <w:spacing w:line="240" w:lineRule="exact"/>
                    <w:jc w:val="center"/>
                    <w:rPr>
                      <w:rFonts w:hint="default" w:eastAsia="宋体" w:cs="Times New Roman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  <w:lang w:val="en-US" w:eastAsia="zh-CN"/>
                    </w:rPr>
                    <w:t>计算机软件著作权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89C241B">
                  <w:pPr>
                    <w:spacing w:line="240" w:lineRule="exact"/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楠木适生区域相容性生长模型分析软件V1.0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D887C65">
                  <w:pPr>
                    <w:spacing w:line="240" w:lineRule="exac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中国大陆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2F8EAF42">
                  <w:pPr>
                    <w:spacing w:line="240" w:lineRule="exact"/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2020SR0736974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3BD01BFC">
                  <w:pPr>
                    <w:spacing w:line="240" w:lineRule="exact"/>
                    <w:jc w:val="center"/>
                    <w:rPr>
                      <w:rFonts w:hint="default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202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  <w:lang w:val="en-US" w:eastAsia="zh-CN"/>
                    </w:rPr>
                    <w:t>0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>-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  <w:lang w:val="en-US" w:eastAsia="zh-CN"/>
                    </w:rPr>
                    <w:t>07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>-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  <w:lang w:val="en-US" w:eastAsia="zh-CN"/>
                    </w:rPr>
                    <w:t>08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0DE70748">
                  <w:pPr>
                    <w:spacing w:line="240" w:lineRule="exact"/>
                    <w:jc w:val="center"/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</w:rPr>
                    <w:t>软著登字第5615670号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E689624">
                  <w:pPr>
                    <w:spacing w:line="240" w:lineRule="exact"/>
                    <w:rPr>
                      <w:rFonts w:hint="eastAsia"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恩施土家族苗族自治州林业科学研究院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A0E9B4E">
                  <w:pPr>
                    <w:spacing w:line="240" w:lineRule="exact"/>
                    <w:rPr>
                      <w:rFonts w:hint="eastAsia" w:eastAsia="宋体" w:cs="Times New Roman"/>
                      <w:sz w:val="21"/>
                      <w:szCs w:val="21"/>
                    </w:rPr>
                  </w:pP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陈贝贝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吴代坤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曾勇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刘薇祎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6F57A8EC">
                  <w:pPr>
                    <w:spacing w:line="240" w:lineRule="exact"/>
                    <w:jc w:val="center"/>
                    <w:rPr>
                      <w:rFonts w:hint="eastAsia" w:eastAsia="宋体" w:cs="Times New Roman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eastAsia="宋体" w:cs="Times New Roman"/>
                      <w:kern w:val="0"/>
                      <w:sz w:val="21"/>
                      <w:szCs w:val="21"/>
                      <w:lang w:val="en-US" w:eastAsia="zh-CN"/>
                    </w:rPr>
                    <w:t>有效</w:t>
                  </w:r>
                </w:p>
              </w:tc>
            </w:tr>
            <w:bookmarkEnd w:id="17"/>
            <w:tr w14:paraId="30538F0C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257DE446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  <w:lang w:val="en-US" w:eastAsia="zh-CN"/>
                    </w:rPr>
                    <w:t>9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69AB11DE">
                  <w:pPr>
                    <w:widowControl w:val="0"/>
                    <w:spacing w:line="239" w:lineRule="exac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论文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62D95394">
                  <w:pPr>
                    <w:widowControl w:val="0"/>
                    <w:spacing w:line="239" w:lineRule="exact"/>
                    <w:ind w:left="20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bookmarkStart w:id="18" w:name="_Hlk135836364"/>
                  <w:r>
                    <w:rPr>
                      <w:rFonts w:eastAsia="宋体" w:cs="Times New Roman"/>
                      <w:sz w:val="21"/>
                      <w:szCs w:val="21"/>
                    </w:rPr>
                    <w:t xml:space="preserve">The Role of </w:t>
                  </w:r>
                  <w:r>
                    <w:rPr>
                      <w:rFonts w:eastAsia="宋体" w:cs="Times New Roman"/>
                      <w:i/>
                      <w:iCs/>
                      <w:sz w:val="21"/>
                      <w:szCs w:val="21"/>
                    </w:rPr>
                    <w:t>PnTCP2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 xml:space="preserve"> in the Lobed Leaf Formation of </w:t>
                  </w:r>
                  <w:r>
                    <w:rPr>
                      <w:rFonts w:eastAsia="宋体" w:cs="Times New Roman"/>
                      <w:i/>
                      <w:iCs/>
                      <w:sz w:val="21"/>
                      <w:szCs w:val="21"/>
                    </w:rPr>
                    <w:t>Phoebe neurantha</w:t>
                  </w:r>
                  <w:r>
                    <w:rPr>
                      <w:rFonts w:eastAsia="宋体" w:cs="Times New Roman"/>
                      <w:sz w:val="21"/>
                      <w:szCs w:val="21"/>
                    </w:rPr>
                    <w:t xml:space="preserve"> var. </w:t>
                  </w:r>
                  <w:r>
                    <w:rPr>
                      <w:rFonts w:eastAsia="宋体" w:cs="Times New Roman"/>
                      <w:i/>
                      <w:iCs/>
                      <w:sz w:val="21"/>
                      <w:szCs w:val="21"/>
                    </w:rPr>
                    <w:t>lobophylla</w:t>
                  </w:r>
                  <w:bookmarkEnd w:id="18"/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46683E1D">
                  <w:pPr>
                    <w:widowControl w:val="0"/>
                    <w:spacing w:line="239" w:lineRule="exact"/>
                    <w:jc w:val="center"/>
                    <w:rPr>
                      <w:rFonts w:eastAsia="宋体" w:cs="Times New Roman"/>
                      <w:w w:val="99"/>
                      <w:sz w:val="21"/>
                      <w:szCs w:val="21"/>
                    </w:rPr>
                  </w:pPr>
                  <w:bookmarkStart w:id="19" w:name="OLE_LINK24"/>
                  <w:bookmarkStart w:id="20" w:name="OLE_LINK23"/>
                  <w:r>
                    <w:rPr>
                      <w:rFonts w:hint="eastAsia" w:eastAsia="宋体" w:cs="Times New Roman"/>
                      <w:sz w:val="21"/>
                      <w:szCs w:val="21"/>
                    </w:rPr>
                    <w:t>全球</w:t>
                  </w:r>
                  <w:bookmarkEnd w:id="19"/>
                  <w:bookmarkEnd w:id="20"/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823C736">
                  <w:pPr>
                    <w:widowControl w:val="0"/>
                    <w:spacing w:line="239" w:lineRule="exact"/>
                    <w:jc w:val="center"/>
                    <w:rPr>
                      <w:rFonts w:eastAsia="宋体" w:cs="Times New Roman"/>
                      <w:w w:val="99"/>
                      <w:sz w:val="21"/>
                      <w:szCs w:val="21"/>
                    </w:rPr>
                  </w:pPr>
                  <w:bookmarkStart w:id="21" w:name="_Hlk135836377"/>
                  <w:r>
                    <w:rPr>
                      <w:rFonts w:eastAsia="宋体" w:cs="Times New Roman"/>
                      <w:sz w:val="21"/>
                      <w:szCs w:val="21"/>
                    </w:rPr>
                    <w:t>International Journal of Molecular Sciences</w:t>
                  </w:r>
                  <w:bookmarkEnd w:id="21"/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F9E32F0">
                  <w:pPr>
                    <w:widowControl w:val="0"/>
                    <w:spacing w:line="239" w:lineRule="exact"/>
                    <w:ind w:left="20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2022-11-21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73151699">
                  <w:pPr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eISSN:</w:t>
                  </w:r>
                </w:p>
                <w:p w14:paraId="0B10DDB4">
                  <w:pPr>
                    <w:widowControl w:val="0"/>
                    <w:spacing w:line="239" w:lineRule="exac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1422-0067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2115E815">
                  <w:pPr>
                    <w:widowControl w:val="0"/>
                    <w:spacing w:line="239" w:lineRule="exac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Yangtze University；Industrial Crops Institute of Hubei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0752F1D">
                  <w:pPr>
                    <w:widowControl w:val="0"/>
                    <w:spacing w:line="239" w:lineRule="exact"/>
                    <w:jc w:val="center"/>
                    <w:rPr>
                      <w:rFonts w:eastAsia="宋体" w:cs="Times New Roman"/>
                      <w:sz w:val="21"/>
                      <w:szCs w:val="21"/>
                      <w:highlight w:val="darkBlue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Bing Sun；Xinru He；Fengying Long；Cui Yu；Yongjun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A9D624D">
                  <w:pPr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SCI 2区</w:t>
                  </w:r>
                </w:p>
                <w:p w14:paraId="52D0D3A0">
                  <w:pPr>
                    <w:widowControl w:val="0"/>
                    <w:spacing w:line="239" w:lineRule="exact"/>
                    <w:jc w:val="center"/>
                    <w:rPr>
                      <w:rFonts w:eastAsia="宋体" w:cs="Times New Roman"/>
                      <w:w w:val="99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IF 6.208</w:t>
                  </w:r>
                </w:p>
              </w:tc>
            </w:tr>
            <w:tr w14:paraId="6969F0CF"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9" w:hRule="atLeast"/>
              </w:trPr>
              <w:tc>
                <w:tcPr>
                  <w:tcW w:w="531" w:type="dxa"/>
                  <w:tcBorders>
                    <w:tl2br w:val="nil"/>
                    <w:tr2bl w:val="nil"/>
                  </w:tcBorders>
                  <w:vAlign w:val="center"/>
                </w:tcPr>
                <w:p w14:paraId="510505BD">
                  <w:pPr>
                    <w:spacing w:line="240" w:lineRule="exact"/>
                    <w:jc w:val="center"/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宋体" w:hAnsi="宋体" w:eastAsia="宋体" w:cs="黑体"/>
                      <w:kern w:val="0"/>
                      <w:sz w:val="22"/>
                      <w:szCs w:val="20"/>
                    </w:rPr>
                    <w:t>10</w:t>
                  </w:r>
                </w:p>
              </w:tc>
              <w:tc>
                <w:tcPr>
                  <w:tcW w:w="986" w:type="dxa"/>
                  <w:tcBorders>
                    <w:tl2br w:val="nil"/>
                    <w:tr2bl w:val="nil"/>
                  </w:tcBorders>
                  <w:vAlign w:val="center"/>
                </w:tcPr>
                <w:p w14:paraId="48BA00CC">
                  <w:pPr>
                    <w:spacing w:line="240" w:lineRule="exact"/>
                    <w:jc w:val="center"/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kern w:val="0"/>
                      <w:sz w:val="21"/>
                      <w:szCs w:val="21"/>
                    </w:rPr>
                    <w:t>论文</w:t>
                  </w:r>
                </w:p>
              </w:tc>
              <w:tc>
                <w:tcPr>
                  <w:tcW w:w="2646" w:type="dxa"/>
                  <w:tcBorders>
                    <w:tl2br w:val="nil"/>
                    <w:tr2bl w:val="nil"/>
                  </w:tcBorders>
                  <w:vAlign w:val="center"/>
                </w:tcPr>
                <w:p w14:paraId="22BD637C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 xml:space="preserve">Exogenous Glycine Betaine Reduces Drought Damage by Mediating Osmotic Adjustment and Enhancing Antioxidant Defense in </w:t>
                  </w:r>
                  <w:r>
                    <w:rPr>
                      <w:rFonts w:eastAsia="宋体" w:cs="Times New Roman"/>
                      <w:i/>
                      <w:iCs/>
                      <w:sz w:val="21"/>
                      <w:szCs w:val="21"/>
                    </w:rPr>
                    <w:t>Phoebe hunanensis</w:t>
                  </w:r>
                </w:p>
              </w:tc>
              <w:tc>
                <w:tcPr>
                  <w:tcW w:w="1390" w:type="dxa"/>
                  <w:tcBorders>
                    <w:tl2br w:val="nil"/>
                    <w:tr2bl w:val="nil"/>
                  </w:tcBorders>
                  <w:vAlign w:val="center"/>
                </w:tcPr>
                <w:p w14:paraId="569E4990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全球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1178F806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Phyton-International Journal of Experimental Botany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8CFC86E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2021-08-26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06492464">
                  <w:pPr>
                    <w:spacing w:line="240" w:lineRule="auto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ISSN：0031-9457</w:t>
                  </w:r>
                </w:p>
                <w:p w14:paraId="3F05D08B">
                  <w:pPr>
                    <w:widowControl w:val="0"/>
                    <w:spacing w:line="240" w:lineRule="auto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eISSN：1851-5657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5D1E3185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Yangtze University；Chenglong Municipal Garden Design &amp; Res Co Ltd；Shuangzhu Forest Farm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6A5EB107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Yang Yujie；Huang Chengshi；Ge Zuguo；Zhou Bengeng；Su Guangju；Liu Chunling；Fei Yongjun</w:t>
                  </w:r>
                </w:p>
              </w:tc>
              <w:tc>
                <w:tcPr>
                  <w:tcW w:w="1389" w:type="dxa"/>
                  <w:tcBorders>
                    <w:tl2br w:val="nil"/>
                    <w:tr2bl w:val="nil"/>
                  </w:tcBorders>
                  <w:vAlign w:val="center"/>
                </w:tcPr>
                <w:p w14:paraId="4DBA4118">
                  <w:pPr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SCI 4区</w:t>
                  </w:r>
                </w:p>
                <w:p w14:paraId="7D60109A">
                  <w:pPr>
                    <w:widowControl w:val="0"/>
                    <w:spacing w:line="0" w:lineRule="atLeast"/>
                    <w:jc w:val="center"/>
                    <w:rPr>
                      <w:rFonts w:eastAsia="宋体" w:cs="Times New Roman"/>
                      <w:sz w:val="21"/>
                      <w:szCs w:val="21"/>
                    </w:rPr>
                  </w:pPr>
                  <w:r>
                    <w:rPr>
                      <w:rFonts w:eastAsia="宋体" w:cs="Times New Roman"/>
                      <w:sz w:val="21"/>
                      <w:szCs w:val="21"/>
                    </w:rPr>
                    <w:t>IF 1.407</w:t>
                  </w:r>
                </w:p>
              </w:tc>
            </w:tr>
          </w:tbl>
          <w:p w14:paraId="2048219F">
            <w:pPr>
              <w:spacing w:line="240" w:lineRule="exact"/>
              <w:ind w:firstLine="440" w:firstLineChars="200"/>
              <w:rPr>
                <w:rFonts w:hint="eastAsia" w:ascii="宋体" w:hAnsi="宋体" w:eastAsia="宋体" w:cs="黑体"/>
                <w:kern w:val="0"/>
                <w:sz w:val="22"/>
                <w:szCs w:val="20"/>
              </w:rPr>
            </w:pPr>
          </w:p>
        </w:tc>
      </w:tr>
    </w:tbl>
    <w:p w14:paraId="202F529D">
      <w:pPr>
        <w:spacing w:before="156" w:beforeLines="50" w:after="156" w:afterLines="50" w:line="400" w:lineRule="exact"/>
        <w:rPr>
          <w:rFonts w:hint="eastAsia" w:ascii="宋体" w:hAnsi="宋体" w:eastAsia="宋体" w:cs="黑体"/>
          <w:color w:val="000000"/>
          <w:sz w:val="18"/>
          <w:szCs w:val="18"/>
          <w:lang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NmUwZTAwZWE2YWMzNWFmYTg5NGY5YjVjMjdlZDkifQ=="/>
  </w:docVars>
  <w:rsids>
    <w:rsidRoot w:val="001C39B9"/>
    <w:rsid w:val="000058D0"/>
    <w:rsid w:val="00036971"/>
    <w:rsid w:val="000467F8"/>
    <w:rsid w:val="00071776"/>
    <w:rsid w:val="000E2E7D"/>
    <w:rsid w:val="00172B9B"/>
    <w:rsid w:val="00192666"/>
    <w:rsid w:val="001B79FF"/>
    <w:rsid w:val="001C39B9"/>
    <w:rsid w:val="00253843"/>
    <w:rsid w:val="0026455A"/>
    <w:rsid w:val="002A6B25"/>
    <w:rsid w:val="002D37B8"/>
    <w:rsid w:val="00317D21"/>
    <w:rsid w:val="00334C3A"/>
    <w:rsid w:val="004D284C"/>
    <w:rsid w:val="004F3D5E"/>
    <w:rsid w:val="00521FA1"/>
    <w:rsid w:val="00544936"/>
    <w:rsid w:val="00545633"/>
    <w:rsid w:val="00573995"/>
    <w:rsid w:val="005D6BDB"/>
    <w:rsid w:val="005F2BF4"/>
    <w:rsid w:val="00624744"/>
    <w:rsid w:val="00692590"/>
    <w:rsid w:val="006D7B3E"/>
    <w:rsid w:val="006F3E3D"/>
    <w:rsid w:val="00725B46"/>
    <w:rsid w:val="00736F67"/>
    <w:rsid w:val="0076619D"/>
    <w:rsid w:val="007815E6"/>
    <w:rsid w:val="007A2B5B"/>
    <w:rsid w:val="007B157E"/>
    <w:rsid w:val="00854A68"/>
    <w:rsid w:val="00863A1A"/>
    <w:rsid w:val="00882D03"/>
    <w:rsid w:val="0089720A"/>
    <w:rsid w:val="008B53EA"/>
    <w:rsid w:val="00927905"/>
    <w:rsid w:val="009651CD"/>
    <w:rsid w:val="009974C7"/>
    <w:rsid w:val="009A3C54"/>
    <w:rsid w:val="009B0044"/>
    <w:rsid w:val="009E5534"/>
    <w:rsid w:val="00A33039"/>
    <w:rsid w:val="00A8709A"/>
    <w:rsid w:val="00A90459"/>
    <w:rsid w:val="00AB0377"/>
    <w:rsid w:val="00AE1D96"/>
    <w:rsid w:val="00B50315"/>
    <w:rsid w:val="00C004CB"/>
    <w:rsid w:val="00C86D83"/>
    <w:rsid w:val="00D14190"/>
    <w:rsid w:val="00D14325"/>
    <w:rsid w:val="00D1766A"/>
    <w:rsid w:val="00D35235"/>
    <w:rsid w:val="00D56A0D"/>
    <w:rsid w:val="00D901AA"/>
    <w:rsid w:val="00D94A11"/>
    <w:rsid w:val="00DE30C5"/>
    <w:rsid w:val="00E337D8"/>
    <w:rsid w:val="00E668B6"/>
    <w:rsid w:val="00E70C03"/>
    <w:rsid w:val="00EA1CAF"/>
    <w:rsid w:val="00EF055B"/>
    <w:rsid w:val="00EF376F"/>
    <w:rsid w:val="00F0616C"/>
    <w:rsid w:val="00F876B0"/>
    <w:rsid w:val="00FC755A"/>
    <w:rsid w:val="00FC76DB"/>
    <w:rsid w:val="00FE427B"/>
    <w:rsid w:val="070279FD"/>
    <w:rsid w:val="15531E9E"/>
    <w:rsid w:val="28073100"/>
    <w:rsid w:val="330953B4"/>
    <w:rsid w:val="46071B64"/>
    <w:rsid w:val="4A0230F9"/>
    <w:rsid w:val="4EF41D4E"/>
    <w:rsid w:val="64AC465C"/>
    <w:rsid w:val="66A0514E"/>
    <w:rsid w:val="758E3053"/>
    <w:rsid w:val="7B8B782A"/>
    <w:rsid w:val="7E24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link w:val="19"/>
    <w:qFormat/>
    <w:uiPriority w:val="9"/>
    <w:pPr>
      <w:spacing w:before="100" w:beforeAutospacing="1" w:after="100" w:afterAutospacing="1" w:line="240" w:lineRule="auto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9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眉 Char"/>
    <w:basedOn w:val="9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paragraph" w:customStyle="1" w:styleId="13">
    <w:name w:val="hostunit"/>
    <w:basedOn w:val="1"/>
    <w:qFormat/>
    <w:uiPriority w:val="0"/>
    <w:pPr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character" w:customStyle="1" w:styleId="15">
    <w:name w:val="页脚 字符"/>
    <w:basedOn w:val="9"/>
    <w:link w:val="4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paragraph" w:customStyle="1" w:styleId="16">
    <w:name w:val="hostunit1"/>
    <w:basedOn w:val="1"/>
    <w:qFormat/>
    <w:uiPriority w:val="0"/>
    <w:pPr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标题 3 Char"/>
    <w:basedOn w:val="9"/>
    <w:qFormat/>
    <w:uiPriority w:val="9"/>
    <w:rPr>
      <w:rFonts w:ascii="宋体" w:hAnsi="宋体" w:eastAsia="宋体" w:cs="宋体"/>
      <w:b/>
      <w:bCs/>
      <w:sz w:val="27"/>
      <w:szCs w:val="27"/>
    </w:rPr>
  </w:style>
  <w:style w:type="character" w:customStyle="1" w:styleId="18">
    <w:name w:val="页眉 字符"/>
    <w:basedOn w:val="9"/>
    <w:link w:val="5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9">
    <w:name w:val="标题 3 字符"/>
    <w:basedOn w:val="9"/>
    <w:link w:val="2"/>
    <w:qFormat/>
    <w:uiPriority w:val="9"/>
    <w:rPr>
      <w:rFonts w:ascii="宋体" w:hAnsi="宋体" w:eastAsia="宋体" w:cs="宋体"/>
      <w:b/>
      <w:bCs/>
      <w:sz w:val="27"/>
      <w:szCs w:val="27"/>
    </w:rPr>
  </w:style>
  <w:style w:type="paragraph" w:customStyle="1" w:styleId="20">
    <w:name w:val="Default1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1777</Words>
  <Characters>2679</Characters>
  <Lines>220</Lines>
  <Paragraphs>140</Paragraphs>
  <TotalTime>8</TotalTime>
  <ScaleCrop>false</ScaleCrop>
  <LinksUpToDate>false</LinksUpToDate>
  <CharactersWithSpaces>2792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2025-05-09T09:26:00Z</dcterms:created>
  <dc:creator>john</dc:creator>
  <cp:lastModifiedBy>贺心茹</cp:lastModifiedBy>
  <dcterms:modified xsi:type="dcterms:W3CDTF">2025-05-09T08:40:07Z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eyJoZGlkIjoiMTY3ZmUzZjBlMmVjZjUyZGIzZTEyZmEzZjJjNGYwNmMiLCJ1c2VySWQiOiI4OTUyNDAzODgifQ==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324CC8554948477FACACF82F36799F7C_12</vt:lpwstr>
  </property>
</Properties>
</file>